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7F46" w14:textId="5F4DE5FB" w:rsidR="00A71C6B" w:rsidRPr="00A71C6B" w:rsidRDefault="00A71C6B">
      <w:pPr>
        <w:rPr>
          <w:b/>
          <w:bCs/>
          <w:sz w:val="24"/>
          <w:szCs w:val="24"/>
          <w:u w:val="single"/>
        </w:rPr>
      </w:pPr>
      <w:r w:rsidRPr="00A71C6B">
        <w:rPr>
          <w:b/>
          <w:bCs/>
          <w:sz w:val="24"/>
          <w:szCs w:val="24"/>
          <w:u w:val="single"/>
        </w:rPr>
        <w:t xml:space="preserve">Appendix 1; </w:t>
      </w:r>
      <w:r w:rsidR="00272D52">
        <w:rPr>
          <w:b/>
          <w:bCs/>
          <w:sz w:val="24"/>
          <w:szCs w:val="24"/>
          <w:u w:val="single"/>
        </w:rPr>
        <w:t xml:space="preserve">Probationary </w:t>
      </w:r>
      <w:r w:rsidRPr="00A71C6B">
        <w:rPr>
          <w:b/>
          <w:bCs/>
          <w:sz w:val="24"/>
          <w:szCs w:val="24"/>
          <w:u w:val="single"/>
        </w:rPr>
        <w:t>Assessment Report Guidelines</w:t>
      </w:r>
      <w:r w:rsidR="00710B72">
        <w:rPr>
          <w:b/>
          <w:bCs/>
          <w:sz w:val="24"/>
          <w:szCs w:val="24"/>
          <w:u w:val="single"/>
        </w:rPr>
        <w:t xml:space="preserve"> </w:t>
      </w:r>
    </w:p>
    <w:p w14:paraId="0F150143" w14:textId="191CD322" w:rsidR="00A71C6B" w:rsidRPr="00A71C6B" w:rsidRDefault="00947463">
      <w:r w:rsidRPr="00947463">
        <w:t>Note that for all</w:t>
      </w:r>
      <w:r>
        <w:t xml:space="preserve"> of the following roles, if concerns about the behaviour of an official are raised this may preclude them from appointment/promotion despite being otherwise deemed competent.</w:t>
      </w:r>
    </w:p>
    <w:p w14:paraId="7E7D6B21" w14:textId="5F20F99E" w:rsidR="008F2E1E" w:rsidRPr="00A71C6B" w:rsidRDefault="00915D95">
      <w:pPr>
        <w:rPr>
          <w:b/>
          <w:bCs/>
          <w:sz w:val="24"/>
          <w:szCs w:val="24"/>
        </w:rPr>
      </w:pPr>
      <w:r w:rsidRPr="00A71C6B">
        <w:rPr>
          <w:b/>
          <w:bCs/>
          <w:sz w:val="24"/>
          <w:szCs w:val="24"/>
        </w:rPr>
        <w:t>Judges</w:t>
      </w:r>
      <w:r w:rsidR="00EC53BA" w:rsidRPr="00A71C6B">
        <w:rPr>
          <w:b/>
          <w:bCs/>
          <w:sz w:val="24"/>
          <w:szCs w:val="24"/>
        </w:rPr>
        <w:t xml:space="preserve"> (Championship gradings)</w:t>
      </w:r>
    </w:p>
    <w:p w14:paraId="6A785871" w14:textId="00538A85" w:rsidR="00A71C6B" w:rsidRPr="00A71C6B" w:rsidRDefault="00E747EE">
      <w:r>
        <w:t>Assessment reports for judges shall be deemed to demonstrate competenc</w:t>
      </w:r>
      <w:r w:rsidR="00947463">
        <w:t>e</w:t>
      </w:r>
      <w:r>
        <w:t xml:space="preserve"> if the requirements </w:t>
      </w:r>
      <w:r w:rsidR="00947463">
        <w:t>set out in</w:t>
      </w:r>
      <w:r>
        <w:t xml:space="preserve"> the three-step process below are satisfied</w:t>
      </w:r>
      <w:r w:rsidR="00947463">
        <w:t>.</w:t>
      </w:r>
    </w:p>
    <w:p w14:paraId="05C5E50E" w14:textId="31603D21" w:rsidR="001853BF" w:rsidRPr="00A71C6B" w:rsidRDefault="001853BF" w:rsidP="001853BF">
      <w:pPr>
        <w:rPr>
          <w:b/>
          <w:bCs/>
        </w:rPr>
      </w:pPr>
      <w:r w:rsidRPr="00A71C6B">
        <w:rPr>
          <w:b/>
          <w:bCs/>
        </w:rPr>
        <w:t>1. Method of Calculating the Range of Grade of Execution (GOE)</w:t>
      </w:r>
    </w:p>
    <w:p w14:paraId="13F0F339" w14:textId="1637CEFE" w:rsidR="001853BF" w:rsidRDefault="001853BF" w:rsidP="001853BF">
      <w:r>
        <w:t>a) For each element performed the computer calculates the average GOE of all the Judges. The GOEs awarded by the Referee are NOT used in this calculation (unless they are also acting as a judge).</w:t>
      </w:r>
    </w:p>
    <w:p w14:paraId="1DAFA0D5" w14:textId="77777777" w:rsidR="001853BF" w:rsidRDefault="001853BF" w:rsidP="001853BF">
      <w:r>
        <w:t>b) The computer then calculates the difference between the “calculated average” and each Judge’s GOEs which results in so called “Deviation Points”.</w:t>
      </w:r>
    </w:p>
    <w:p w14:paraId="75B9DE06" w14:textId="776BE302" w:rsidR="001853BF" w:rsidRDefault="001853BF" w:rsidP="001853BF">
      <w:r>
        <w:t>c) If the Deviation Points of an element for a Judge is more than 2.0 points, the GOEs of that Judge for that element will be flagged as “of concern”.</w:t>
      </w:r>
    </w:p>
    <w:p w14:paraId="7687736E" w14:textId="412334B7" w:rsidR="001853BF" w:rsidRDefault="001853BF" w:rsidP="001853BF">
      <w:r>
        <w:t>The respective deviation points will be indicated on the Judges protocol sheets provided to the Referee for evaluation.</w:t>
      </w:r>
    </w:p>
    <w:p w14:paraId="3031AC48" w14:textId="7CAB04F2" w:rsidR="001853BF" w:rsidRDefault="001853BF" w:rsidP="001853BF">
      <w:r>
        <w:t>In the example below, the GOE of Judge A for the element 7 has to be evaluated.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08"/>
        <w:gridCol w:w="1408"/>
        <w:gridCol w:w="1408"/>
        <w:gridCol w:w="1408"/>
      </w:tblGrid>
      <w:tr w:rsidR="001853BF" w:rsidRPr="001853BF" w14:paraId="55DF71EE" w14:textId="77777777">
        <w:trPr>
          <w:trHeight w:val="278"/>
        </w:trPr>
        <w:tc>
          <w:tcPr>
            <w:tcW w:w="1408" w:type="dxa"/>
          </w:tcPr>
          <w:p w14:paraId="70F6AA74" w14:textId="77777777" w:rsidR="001853BF" w:rsidRPr="001853BF" w:rsidRDefault="001853BF" w:rsidP="00E747EE">
            <w:r w:rsidRPr="001853BF">
              <w:t xml:space="preserve">Example </w:t>
            </w:r>
          </w:p>
        </w:tc>
        <w:tc>
          <w:tcPr>
            <w:tcW w:w="1408" w:type="dxa"/>
          </w:tcPr>
          <w:p w14:paraId="41F6283D" w14:textId="77777777" w:rsidR="001853BF" w:rsidRPr="001853BF" w:rsidRDefault="001853BF" w:rsidP="00E747EE">
            <w:r w:rsidRPr="001853BF">
              <w:t xml:space="preserve">Average GOE </w:t>
            </w:r>
          </w:p>
        </w:tc>
        <w:tc>
          <w:tcPr>
            <w:tcW w:w="1408" w:type="dxa"/>
          </w:tcPr>
          <w:p w14:paraId="1B728EFE" w14:textId="77777777" w:rsidR="001853BF" w:rsidRPr="001853BF" w:rsidRDefault="001853BF" w:rsidP="00E747EE">
            <w:r w:rsidRPr="001853BF">
              <w:t xml:space="preserve">GOEs of Judge A </w:t>
            </w:r>
          </w:p>
        </w:tc>
        <w:tc>
          <w:tcPr>
            <w:tcW w:w="1408" w:type="dxa"/>
          </w:tcPr>
          <w:p w14:paraId="14E47028" w14:textId="77777777" w:rsidR="001853BF" w:rsidRPr="001853BF" w:rsidRDefault="001853BF" w:rsidP="00E747EE">
            <w:r w:rsidRPr="001853BF">
              <w:t xml:space="preserve">Deviation </w:t>
            </w:r>
          </w:p>
          <w:p w14:paraId="1AAF65C2" w14:textId="77777777" w:rsidR="001853BF" w:rsidRPr="001853BF" w:rsidRDefault="001853BF" w:rsidP="00E747EE">
            <w:r w:rsidRPr="001853BF">
              <w:t xml:space="preserve">Points </w:t>
            </w:r>
          </w:p>
        </w:tc>
      </w:tr>
      <w:tr w:rsidR="001853BF" w:rsidRPr="001853BF" w14:paraId="303995F2" w14:textId="77777777">
        <w:trPr>
          <w:trHeight w:val="150"/>
        </w:trPr>
        <w:tc>
          <w:tcPr>
            <w:tcW w:w="1408" w:type="dxa"/>
          </w:tcPr>
          <w:p w14:paraId="7822A8F9" w14:textId="77777777" w:rsidR="001853BF" w:rsidRPr="001853BF" w:rsidRDefault="001853BF" w:rsidP="00E747EE">
            <w:r w:rsidRPr="001853BF">
              <w:t xml:space="preserve">Element 1 </w:t>
            </w:r>
          </w:p>
        </w:tc>
        <w:tc>
          <w:tcPr>
            <w:tcW w:w="1408" w:type="dxa"/>
          </w:tcPr>
          <w:p w14:paraId="64B95FC7" w14:textId="77777777" w:rsidR="001853BF" w:rsidRPr="001853BF" w:rsidRDefault="001853BF" w:rsidP="00E747EE">
            <w:r w:rsidRPr="001853BF">
              <w:t xml:space="preserve">1.8 </w:t>
            </w:r>
          </w:p>
        </w:tc>
        <w:tc>
          <w:tcPr>
            <w:tcW w:w="1408" w:type="dxa"/>
          </w:tcPr>
          <w:p w14:paraId="369C30EE" w14:textId="77777777" w:rsidR="001853BF" w:rsidRPr="001853BF" w:rsidRDefault="001853BF" w:rsidP="00E747EE">
            <w:r w:rsidRPr="001853BF">
              <w:t xml:space="preserve">1.0 </w:t>
            </w:r>
          </w:p>
        </w:tc>
        <w:tc>
          <w:tcPr>
            <w:tcW w:w="1408" w:type="dxa"/>
          </w:tcPr>
          <w:p w14:paraId="210DF9EC" w14:textId="77777777" w:rsidR="001853BF" w:rsidRPr="001853BF" w:rsidRDefault="001853BF" w:rsidP="00E747EE">
            <w:r w:rsidRPr="001853BF">
              <w:t xml:space="preserve">0.8 </w:t>
            </w:r>
          </w:p>
        </w:tc>
      </w:tr>
      <w:tr w:rsidR="001853BF" w:rsidRPr="001853BF" w14:paraId="13C3BF5A" w14:textId="77777777">
        <w:trPr>
          <w:trHeight w:val="150"/>
        </w:trPr>
        <w:tc>
          <w:tcPr>
            <w:tcW w:w="1408" w:type="dxa"/>
          </w:tcPr>
          <w:p w14:paraId="2C3A3C22" w14:textId="77777777" w:rsidR="001853BF" w:rsidRPr="001853BF" w:rsidRDefault="001853BF" w:rsidP="00E747EE">
            <w:r w:rsidRPr="001853BF">
              <w:t xml:space="preserve">Element 2 </w:t>
            </w:r>
          </w:p>
        </w:tc>
        <w:tc>
          <w:tcPr>
            <w:tcW w:w="1408" w:type="dxa"/>
          </w:tcPr>
          <w:p w14:paraId="5121A850" w14:textId="77777777" w:rsidR="001853BF" w:rsidRPr="001853BF" w:rsidRDefault="001853BF" w:rsidP="00E747EE">
            <w:r w:rsidRPr="001853BF">
              <w:t xml:space="preserve">-2.1 </w:t>
            </w:r>
          </w:p>
        </w:tc>
        <w:tc>
          <w:tcPr>
            <w:tcW w:w="1408" w:type="dxa"/>
          </w:tcPr>
          <w:p w14:paraId="1342D53D" w14:textId="77777777" w:rsidR="001853BF" w:rsidRPr="001853BF" w:rsidRDefault="001853BF" w:rsidP="00E747EE">
            <w:r w:rsidRPr="001853BF">
              <w:t xml:space="preserve">-4.0 </w:t>
            </w:r>
          </w:p>
        </w:tc>
        <w:tc>
          <w:tcPr>
            <w:tcW w:w="1408" w:type="dxa"/>
          </w:tcPr>
          <w:p w14:paraId="05FB4647" w14:textId="77777777" w:rsidR="001853BF" w:rsidRPr="001853BF" w:rsidRDefault="001853BF" w:rsidP="00E747EE">
            <w:r w:rsidRPr="001853BF">
              <w:t xml:space="preserve">1.9 </w:t>
            </w:r>
          </w:p>
        </w:tc>
      </w:tr>
      <w:tr w:rsidR="001853BF" w:rsidRPr="001853BF" w14:paraId="30CF9C47" w14:textId="77777777">
        <w:trPr>
          <w:trHeight w:val="150"/>
        </w:trPr>
        <w:tc>
          <w:tcPr>
            <w:tcW w:w="1408" w:type="dxa"/>
          </w:tcPr>
          <w:p w14:paraId="5790A3F4" w14:textId="77777777" w:rsidR="001853BF" w:rsidRPr="001853BF" w:rsidRDefault="001853BF" w:rsidP="00E747EE">
            <w:r w:rsidRPr="001853BF">
              <w:t xml:space="preserve">Element 3 </w:t>
            </w:r>
          </w:p>
        </w:tc>
        <w:tc>
          <w:tcPr>
            <w:tcW w:w="1408" w:type="dxa"/>
          </w:tcPr>
          <w:p w14:paraId="62EEB3AF" w14:textId="77777777" w:rsidR="001853BF" w:rsidRPr="001853BF" w:rsidRDefault="001853BF" w:rsidP="00E747EE">
            <w:r w:rsidRPr="001853BF">
              <w:t xml:space="preserve">0.0 </w:t>
            </w:r>
          </w:p>
        </w:tc>
        <w:tc>
          <w:tcPr>
            <w:tcW w:w="1408" w:type="dxa"/>
          </w:tcPr>
          <w:p w14:paraId="7A703DED" w14:textId="77777777" w:rsidR="001853BF" w:rsidRPr="001853BF" w:rsidRDefault="001853BF" w:rsidP="00E747EE">
            <w:r w:rsidRPr="001853BF">
              <w:t xml:space="preserve">-2.0 </w:t>
            </w:r>
          </w:p>
        </w:tc>
        <w:tc>
          <w:tcPr>
            <w:tcW w:w="1408" w:type="dxa"/>
          </w:tcPr>
          <w:p w14:paraId="3F04A8E1" w14:textId="77777777" w:rsidR="001853BF" w:rsidRPr="001853BF" w:rsidRDefault="001853BF" w:rsidP="00E747EE">
            <w:r w:rsidRPr="001853BF">
              <w:t xml:space="preserve">2.0 </w:t>
            </w:r>
          </w:p>
        </w:tc>
      </w:tr>
      <w:tr w:rsidR="001853BF" w:rsidRPr="001853BF" w14:paraId="274F3BBB" w14:textId="77777777">
        <w:trPr>
          <w:trHeight w:val="150"/>
        </w:trPr>
        <w:tc>
          <w:tcPr>
            <w:tcW w:w="1408" w:type="dxa"/>
          </w:tcPr>
          <w:p w14:paraId="27AB0FC9" w14:textId="77777777" w:rsidR="001853BF" w:rsidRPr="001853BF" w:rsidRDefault="001853BF" w:rsidP="00E747EE">
            <w:r w:rsidRPr="001853BF">
              <w:t xml:space="preserve">Element 4 </w:t>
            </w:r>
          </w:p>
        </w:tc>
        <w:tc>
          <w:tcPr>
            <w:tcW w:w="1408" w:type="dxa"/>
          </w:tcPr>
          <w:p w14:paraId="68894A24" w14:textId="77777777" w:rsidR="001853BF" w:rsidRPr="001853BF" w:rsidRDefault="001853BF" w:rsidP="00E747EE">
            <w:r w:rsidRPr="001853BF">
              <w:t xml:space="preserve">0.8 </w:t>
            </w:r>
          </w:p>
        </w:tc>
        <w:tc>
          <w:tcPr>
            <w:tcW w:w="1408" w:type="dxa"/>
          </w:tcPr>
          <w:p w14:paraId="75EE22CA" w14:textId="77777777" w:rsidR="001853BF" w:rsidRPr="001853BF" w:rsidRDefault="001853BF" w:rsidP="00E747EE">
            <w:r w:rsidRPr="001853BF">
              <w:t xml:space="preserve">1.0 </w:t>
            </w:r>
          </w:p>
        </w:tc>
        <w:tc>
          <w:tcPr>
            <w:tcW w:w="1408" w:type="dxa"/>
          </w:tcPr>
          <w:p w14:paraId="4BB985CF" w14:textId="77777777" w:rsidR="001853BF" w:rsidRPr="001853BF" w:rsidRDefault="001853BF" w:rsidP="00E747EE">
            <w:r w:rsidRPr="001853BF">
              <w:t xml:space="preserve">0.2 </w:t>
            </w:r>
          </w:p>
        </w:tc>
      </w:tr>
      <w:tr w:rsidR="001853BF" w:rsidRPr="001853BF" w14:paraId="380F8BAB" w14:textId="77777777">
        <w:trPr>
          <w:trHeight w:val="150"/>
        </w:trPr>
        <w:tc>
          <w:tcPr>
            <w:tcW w:w="1408" w:type="dxa"/>
          </w:tcPr>
          <w:p w14:paraId="25B32D22" w14:textId="77777777" w:rsidR="001853BF" w:rsidRPr="001853BF" w:rsidRDefault="001853BF" w:rsidP="00E747EE">
            <w:r w:rsidRPr="001853BF">
              <w:t xml:space="preserve">Element 5 </w:t>
            </w:r>
          </w:p>
        </w:tc>
        <w:tc>
          <w:tcPr>
            <w:tcW w:w="1408" w:type="dxa"/>
          </w:tcPr>
          <w:p w14:paraId="65D72DAB" w14:textId="77777777" w:rsidR="001853BF" w:rsidRPr="001853BF" w:rsidRDefault="001853BF" w:rsidP="00E747EE">
            <w:r w:rsidRPr="001853BF">
              <w:t xml:space="preserve">-1.0 </w:t>
            </w:r>
          </w:p>
        </w:tc>
        <w:tc>
          <w:tcPr>
            <w:tcW w:w="1408" w:type="dxa"/>
          </w:tcPr>
          <w:p w14:paraId="0AFFDB6E" w14:textId="77777777" w:rsidR="001853BF" w:rsidRPr="001853BF" w:rsidRDefault="001853BF" w:rsidP="00E747EE">
            <w:r w:rsidRPr="001853BF">
              <w:t xml:space="preserve">0.0 </w:t>
            </w:r>
          </w:p>
        </w:tc>
        <w:tc>
          <w:tcPr>
            <w:tcW w:w="1408" w:type="dxa"/>
          </w:tcPr>
          <w:p w14:paraId="1491CA6E" w14:textId="77777777" w:rsidR="001853BF" w:rsidRPr="001853BF" w:rsidRDefault="001853BF" w:rsidP="00E747EE">
            <w:r w:rsidRPr="001853BF">
              <w:t xml:space="preserve">1.0 </w:t>
            </w:r>
          </w:p>
        </w:tc>
      </w:tr>
      <w:tr w:rsidR="001853BF" w:rsidRPr="001853BF" w14:paraId="35F1B9E6" w14:textId="77777777">
        <w:trPr>
          <w:trHeight w:val="150"/>
        </w:trPr>
        <w:tc>
          <w:tcPr>
            <w:tcW w:w="1408" w:type="dxa"/>
          </w:tcPr>
          <w:p w14:paraId="476DF151" w14:textId="77777777" w:rsidR="001853BF" w:rsidRPr="001853BF" w:rsidRDefault="001853BF" w:rsidP="00E747EE">
            <w:r w:rsidRPr="001853BF">
              <w:t xml:space="preserve">Element 6 </w:t>
            </w:r>
          </w:p>
        </w:tc>
        <w:tc>
          <w:tcPr>
            <w:tcW w:w="1408" w:type="dxa"/>
          </w:tcPr>
          <w:p w14:paraId="5FCF943B" w14:textId="77777777" w:rsidR="001853BF" w:rsidRPr="001853BF" w:rsidRDefault="001853BF" w:rsidP="00E747EE">
            <w:r w:rsidRPr="001853BF">
              <w:t xml:space="preserve">0.4 </w:t>
            </w:r>
          </w:p>
        </w:tc>
        <w:tc>
          <w:tcPr>
            <w:tcW w:w="1408" w:type="dxa"/>
          </w:tcPr>
          <w:p w14:paraId="3976732D" w14:textId="77777777" w:rsidR="001853BF" w:rsidRPr="001853BF" w:rsidRDefault="001853BF" w:rsidP="00E747EE">
            <w:r w:rsidRPr="001853BF">
              <w:t xml:space="preserve">2.0 </w:t>
            </w:r>
          </w:p>
        </w:tc>
        <w:tc>
          <w:tcPr>
            <w:tcW w:w="1408" w:type="dxa"/>
          </w:tcPr>
          <w:p w14:paraId="102D53BA" w14:textId="77777777" w:rsidR="001853BF" w:rsidRPr="001853BF" w:rsidRDefault="001853BF" w:rsidP="00E747EE">
            <w:r w:rsidRPr="001853BF">
              <w:t xml:space="preserve">1.6 </w:t>
            </w:r>
          </w:p>
        </w:tc>
      </w:tr>
      <w:tr w:rsidR="001853BF" w:rsidRPr="001853BF" w14:paraId="42217C4D" w14:textId="77777777">
        <w:trPr>
          <w:trHeight w:val="150"/>
        </w:trPr>
        <w:tc>
          <w:tcPr>
            <w:tcW w:w="1408" w:type="dxa"/>
          </w:tcPr>
          <w:p w14:paraId="1575704B" w14:textId="77777777" w:rsidR="001853BF" w:rsidRPr="001853BF" w:rsidRDefault="001853BF" w:rsidP="00E747EE">
            <w:r w:rsidRPr="001853BF">
              <w:t xml:space="preserve">Element 7 </w:t>
            </w:r>
          </w:p>
        </w:tc>
        <w:tc>
          <w:tcPr>
            <w:tcW w:w="1408" w:type="dxa"/>
          </w:tcPr>
          <w:p w14:paraId="5561A883" w14:textId="77777777" w:rsidR="001853BF" w:rsidRPr="001853BF" w:rsidRDefault="001853BF" w:rsidP="00E747EE">
            <w:r w:rsidRPr="001853BF">
              <w:t xml:space="preserve">2.2 </w:t>
            </w:r>
          </w:p>
        </w:tc>
        <w:tc>
          <w:tcPr>
            <w:tcW w:w="1408" w:type="dxa"/>
          </w:tcPr>
          <w:p w14:paraId="1E8A9D6E" w14:textId="77777777" w:rsidR="001853BF" w:rsidRPr="001853BF" w:rsidRDefault="001853BF" w:rsidP="00E747EE">
            <w:r w:rsidRPr="001853BF">
              <w:t xml:space="preserve">0.0 </w:t>
            </w:r>
          </w:p>
        </w:tc>
        <w:tc>
          <w:tcPr>
            <w:tcW w:w="1408" w:type="dxa"/>
          </w:tcPr>
          <w:p w14:paraId="46C657C2" w14:textId="77777777" w:rsidR="001853BF" w:rsidRPr="001853BF" w:rsidRDefault="001853BF" w:rsidP="00E747EE">
            <w:r w:rsidRPr="001853BF">
              <w:t xml:space="preserve">2.2 </w:t>
            </w:r>
          </w:p>
        </w:tc>
      </w:tr>
    </w:tbl>
    <w:p w14:paraId="47E9A57F" w14:textId="5DBBAECE" w:rsidR="001853BF" w:rsidRPr="00A71C6B" w:rsidRDefault="001853BF" w:rsidP="001853BF">
      <w:pPr>
        <w:rPr>
          <w:b/>
          <w:bCs/>
        </w:rPr>
      </w:pPr>
    </w:p>
    <w:p w14:paraId="3C70E7EA" w14:textId="0F579734" w:rsidR="001853BF" w:rsidRPr="00A71C6B" w:rsidRDefault="001853BF" w:rsidP="001853BF">
      <w:pPr>
        <w:rPr>
          <w:b/>
          <w:bCs/>
        </w:rPr>
      </w:pPr>
      <w:r w:rsidRPr="00A71C6B">
        <w:rPr>
          <w:b/>
          <w:bCs/>
        </w:rPr>
        <w:t>2. Method of Calculating the Range of Program Components scores</w:t>
      </w:r>
    </w:p>
    <w:p w14:paraId="527DC2BD" w14:textId="19FD8737" w:rsidR="001853BF" w:rsidRDefault="001853BF" w:rsidP="001853BF">
      <w:r>
        <w:t>a) For each Program Component, the computer program calculates the average scores of all of the Judges. The Program Components scores awarded by the Referee are NOT used in this calculation (unless they are also acting as a judge).</w:t>
      </w:r>
    </w:p>
    <w:p w14:paraId="3DA4B87C" w14:textId="77777777" w:rsidR="001853BF" w:rsidRDefault="001853BF" w:rsidP="001853BF">
      <w:r>
        <w:t>b) The computer program then calculates the difference between the “calculated average” and the Judges Program Components scores which results in “Deviation Points”.</w:t>
      </w:r>
    </w:p>
    <w:p w14:paraId="73462F21" w14:textId="1D790811" w:rsidR="001853BF" w:rsidRDefault="001853BF" w:rsidP="001853BF">
      <w:r>
        <w:t xml:space="preserve">c) If the Deviation Points of a component for a Judge is more than </w:t>
      </w:r>
      <w:r w:rsidR="00485DD6">
        <w:t>1.0</w:t>
      </w:r>
      <w:r>
        <w:t xml:space="preserve"> points, the scores of that Judge for that component will be flagged as “of concern”.</w:t>
      </w:r>
    </w:p>
    <w:p w14:paraId="7F83ACD6" w14:textId="00B6C135" w:rsidR="001853BF" w:rsidRDefault="001853BF" w:rsidP="001853BF">
      <w:r>
        <w:lastRenderedPageBreak/>
        <w:t>The respective deviation points will be indicated on the Judges protocol sheets provided to the Referee for evaluation.</w:t>
      </w:r>
    </w:p>
    <w:p w14:paraId="042DEB9B" w14:textId="75A7A6AC" w:rsidR="001853BF" w:rsidRDefault="001853BF" w:rsidP="001853BF">
      <w:r>
        <w:t>In the example below the scores of Judge A for the components 1, 2, 4</w:t>
      </w:r>
      <w:r w:rsidR="00485DD6">
        <w:t>, and 5</w:t>
      </w:r>
      <w:r>
        <w:t xml:space="preserve"> have to be evaluated.</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76"/>
        <w:gridCol w:w="1576"/>
        <w:gridCol w:w="1576"/>
        <w:gridCol w:w="1576"/>
      </w:tblGrid>
      <w:tr w:rsidR="00E747EE" w:rsidRPr="00E747EE" w14:paraId="1AFBD0D6" w14:textId="77777777">
        <w:trPr>
          <w:trHeight w:val="403"/>
        </w:trPr>
        <w:tc>
          <w:tcPr>
            <w:tcW w:w="1576" w:type="dxa"/>
          </w:tcPr>
          <w:p w14:paraId="4551D051" w14:textId="77777777" w:rsidR="00E747EE" w:rsidRPr="00E747EE" w:rsidRDefault="00E747EE" w:rsidP="00E747EE">
            <w:r w:rsidRPr="00E747EE">
              <w:t xml:space="preserve">Example </w:t>
            </w:r>
          </w:p>
        </w:tc>
        <w:tc>
          <w:tcPr>
            <w:tcW w:w="1576" w:type="dxa"/>
          </w:tcPr>
          <w:p w14:paraId="6EB19428" w14:textId="77777777" w:rsidR="00E747EE" w:rsidRPr="00E747EE" w:rsidRDefault="00E747EE" w:rsidP="00E747EE">
            <w:r w:rsidRPr="00E747EE">
              <w:t xml:space="preserve">Average </w:t>
            </w:r>
          </w:p>
          <w:p w14:paraId="2D8DAF7A" w14:textId="77777777" w:rsidR="00E747EE" w:rsidRPr="00E747EE" w:rsidRDefault="00E747EE" w:rsidP="00E747EE">
            <w:r w:rsidRPr="00E747EE">
              <w:t xml:space="preserve">Component </w:t>
            </w:r>
          </w:p>
          <w:p w14:paraId="2F91B95B" w14:textId="77777777" w:rsidR="00E747EE" w:rsidRPr="00E747EE" w:rsidRDefault="00E747EE" w:rsidP="00E747EE">
            <w:r w:rsidRPr="00E747EE">
              <w:t xml:space="preserve">scores </w:t>
            </w:r>
          </w:p>
        </w:tc>
        <w:tc>
          <w:tcPr>
            <w:tcW w:w="1576" w:type="dxa"/>
          </w:tcPr>
          <w:p w14:paraId="0480B054" w14:textId="77777777" w:rsidR="00E747EE" w:rsidRPr="00E747EE" w:rsidRDefault="00E747EE" w:rsidP="00E747EE">
            <w:r w:rsidRPr="00E747EE">
              <w:t xml:space="preserve">Component scores of Judge A </w:t>
            </w:r>
          </w:p>
        </w:tc>
        <w:tc>
          <w:tcPr>
            <w:tcW w:w="1576" w:type="dxa"/>
          </w:tcPr>
          <w:p w14:paraId="57F938F1" w14:textId="77777777" w:rsidR="00E747EE" w:rsidRPr="00E747EE" w:rsidRDefault="00E747EE" w:rsidP="00E747EE">
            <w:r w:rsidRPr="00E747EE">
              <w:t xml:space="preserve">Deviation </w:t>
            </w:r>
          </w:p>
          <w:p w14:paraId="0F0A58C2" w14:textId="77777777" w:rsidR="00E747EE" w:rsidRPr="00E747EE" w:rsidRDefault="00E747EE" w:rsidP="00E747EE">
            <w:r w:rsidRPr="00E747EE">
              <w:t xml:space="preserve">Points </w:t>
            </w:r>
          </w:p>
        </w:tc>
      </w:tr>
      <w:tr w:rsidR="00E747EE" w:rsidRPr="00E747EE" w14:paraId="0C6BDC52" w14:textId="77777777">
        <w:trPr>
          <w:trHeight w:val="150"/>
        </w:trPr>
        <w:tc>
          <w:tcPr>
            <w:tcW w:w="1576" w:type="dxa"/>
          </w:tcPr>
          <w:p w14:paraId="49876AB9" w14:textId="77777777" w:rsidR="00E747EE" w:rsidRPr="00E747EE" w:rsidRDefault="00E747EE" w:rsidP="00E747EE">
            <w:r w:rsidRPr="00E747EE">
              <w:t xml:space="preserve">Component 1 </w:t>
            </w:r>
          </w:p>
        </w:tc>
        <w:tc>
          <w:tcPr>
            <w:tcW w:w="1576" w:type="dxa"/>
          </w:tcPr>
          <w:p w14:paraId="6B1611E6" w14:textId="77777777" w:rsidR="00E747EE" w:rsidRPr="00E747EE" w:rsidRDefault="00E747EE" w:rsidP="00E747EE">
            <w:r w:rsidRPr="00E747EE">
              <w:t xml:space="preserve">5.75 </w:t>
            </w:r>
          </w:p>
        </w:tc>
        <w:tc>
          <w:tcPr>
            <w:tcW w:w="1576" w:type="dxa"/>
          </w:tcPr>
          <w:p w14:paraId="48B98476" w14:textId="77777777" w:rsidR="00E747EE" w:rsidRPr="00E747EE" w:rsidRDefault="00E747EE" w:rsidP="00E747EE">
            <w:r w:rsidRPr="00E747EE">
              <w:t xml:space="preserve">4.00 </w:t>
            </w:r>
          </w:p>
        </w:tc>
        <w:tc>
          <w:tcPr>
            <w:tcW w:w="1576" w:type="dxa"/>
          </w:tcPr>
          <w:p w14:paraId="101B8FE4" w14:textId="77777777" w:rsidR="00E747EE" w:rsidRPr="00E747EE" w:rsidRDefault="00E747EE" w:rsidP="00E747EE">
            <w:r w:rsidRPr="00E747EE">
              <w:t xml:space="preserve">1.75 </w:t>
            </w:r>
          </w:p>
        </w:tc>
      </w:tr>
      <w:tr w:rsidR="00E747EE" w:rsidRPr="00E747EE" w14:paraId="2E9E6D77" w14:textId="77777777">
        <w:trPr>
          <w:trHeight w:val="150"/>
        </w:trPr>
        <w:tc>
          <w:tcPr>
            <w:tcW w:w="1576" w:type="dxa"/>
          </w:tcPr>
          <w:p w14:paraId="20EFFC00" w14:textId="77777777" w:rsidR="00E747EE" w:rsidRPr="00E747EE" w:rsidRDefault="00E747EE" w:rsidP="00E747EE">
            <w:r w:rsidRPr="00E747EE">
              <w:t xml:space="preserve">Component 2 </w:t>
            </w:r>
          </w:p>
        </w:tc>
        <w:tc>
          <w:tcPr>
            <w:tcW w:w="1576" w:type="dxa"/>
          </w:tcPr>
          <w:p w14:paraId="31A3470B" w14:textId="77777777" w:rsidR="00E747EE" w:rsidRPr="00E747EE" w:rsidRDefault="00E747EE" w:rsidP="00E747EE">
            <w:r w:rsidRPr="00E747EE">
              <w:t xml:space="preserve">5.85 </w:t>
            </w:r>
          </w:p>
        </w:tc>
        <w:tc>
          <w:tcPr>
            <w:tcW w:w="1576" w:type="dxa"/>
          </w:tcPr>
          <w:p w14:paraId="5FE94FEE" w14:textId="77777777" w:rsidR="00E747EE" w:rsidRPr="00E747EE" w:rsidRDefault="00E747EE" w:rsidP="00E747EE">
            <w:r w:rsidRPr="00E747EE">
              <w:t xml:space="preserve">4.00 </w:t>
            </w:r>
          </w:p>
        </w:tc>
        <w:tc>
          <w:tcPr>
            <w:tcW w:w="1576" w:type="dxa"/>
          </w:tcPr>
          <w:p w14:paraId="14AC3C9F" w14:textId="77777777" w:rsidR="00E747EE" w:rsidRPr="00E747EE" w:rsidRDefault="00E747EE" w:rsidP="00E747EE">
            <w:r w:rsidRPr="00E747EE">
              <w:t xml:space="preserve">1.85 </w:t>
            </w:r>
          </w:p>
        </w:tc>
      </w:tr>
      <w:tr w:rsidR="00E747EE" w:rsidRPr="00E747EE" w14:paraId="575549BB" w14:textId="77777777">
        <w:trPr>
          <w:trHeight w:val="150"/>
        </w:trPr>
        <w:tc>
          <w:tcPr>
            <w:tcW w:w="1576" w:type="dxa"/>
          </w:tcPr>
          <w:p w14:paraId="0EDA2F92" w14:textId="77777777" w:rsidR="00E747EE" w:rsidRPr="00E747EE" w:rsidRDefault="00E747EE" w:rsidP="00E747EE">
            <w:r w:rsidRPr="00E747EE">
              <w:t xml:space="preserve">Component 3 </w:t>
            </w:r>
          </w:p>
        </w:tc>
        <w:tc>
          <w:tcPr>
            <w:tcW w:w="1576" w:type="dxa"/>
          </w:tcPr>
          <w:p w14:paraId="635FB680" w14:textId="77777777" w:rsidR="00E747EE" w:rsidRPr="00E747EE" w:rsidRDefault="00E747EE" w:rsidP="00E747EE">
            <w:r w:rsidRPr="00E747EE">
              <w:t xml:space="preserve">5.45 </w:t>
            </w:r>
          </w:p>
        </w:tc>
        <w:tc>
          <w:tcPr>
            <w:tcW w:w="1576" w:type="dxa"/>
          </w:tcPr>
          <w:p w14:paraId="69E92AC2" w14:textId="77777777" w:rsidR="00E747EE" w:rsidRPr="00E747EE" w:rsidRDefault="00E747EE" w:rsidP="00E747EE">
            <w:r w:rsidRPr="00E747EE">
              <w:t xml:space="preserve">6.25 </w:t>
            </w:r>
          </w:p>
        </w:tc>
        <w:tc>
          <w:tcPr>
            <w:tcW w:w="1576" w:type="dxa"/>
          </w:tcPr>
          <w:p w14:paraId="311A41A6" w14:textId="77777777" w:rsidR="00E747EE" w:rsidRPr="00E747EE" w:rsidRDefault="00E747EE" w:rsidP="00E747EE">
            <w:r w:rsidRPr="00E747EE">
              <w:t xml:space="preserve">0.80 </w:t>
            </w:r>
          </w:p>
        </w:tc>
      </w:tr>
      <w:tr w:rsidR="00E747EE" w:rsidRPr="00E747EE" w14:paraId="408ED9F0" w14:textId="77777777">
        <w:trPr>
          <w:trHeight w:val="150"/>
        </w:trPr>
        <w:tc>
          <w:tcPr>
            <w:tcW w:w="1576" w:type="dxa"/>
          </w:tcPr>
          <w:p w14:paraId="7DFA6F42" w14:textId="77777777" w:rsidR="00E747EE" w:rsidRPr="00E747EE" w:rsidRDefault="00E747EE" w:rsidP="00E747EE">
            <w:r w:rsidRPr="00E747EE">
              <w:t xml:space="preserve">Component 4 </w:t>
            </w:r>
          </w:p>
        </w:tc>
        <w:tc>
          <w:tcPr>
            <w:tcW w:w="1576" w:type="dxa"/>
          </w:tcPr>
          <w:p w14:paraId="0B8B3F80" w14:textId="77777777" w:rsidR="00E747EE" w:rsidRPr="00E747EE" w:rsidRDefault="00E747EE" w:rsidP="00E747EE">
            <w:r w:rsidRPr="00E747EE">
              <w:t xml:space="preserve">6.00 </w:t>
            </w:r>
          </w:p>
        </w:tc>
        <w:tc>
          <w:tcPr>
            <w:tcW w:w="1576" w:type="dxa"/>
          </w:tcPr>
          <w:p w14:paraId="780FC32D" w14:textId="77777777" w:rsidR="00E747EE" w:rsidRPr="00E747EE" w:rsidRDefault="00E747EE" w:rsidP="00E747EE">
            <w:r w:rsidRPr="00E747EE">
              <w:t xml:space="preserve">7.75 </w:t>
            </w:r>
          </w:p>
        </w:tc>
        <w:tc>
          <w:tcPr>
            <w:tcW w:w="1576" w:type="dxa"/>
          </w:tcPr>
          <w:p w14:paraId="0FBF7F99" w14:textId="77777777" w:rsidR="00E747EE" w:rsidRPr="00E747EE" w:rsidRDefault="00E747EE" w:rsidP="00E747EE">
            <w:r w:rsidRPr="00E747EE">
              <w:t xml:space="preserve">1.75 </w:t>
            </w:r>
          </w:p>
        </w:tc>
      </w:tr>
      <w:tr w:rsidR="00E747EE" w:rsidRPr="00E747EE" w14:paraId="1F58CB93" w14:textId="77777777">
        <w:trPr>
          <w:trHeight w:val="150"/>
        </w:trPr>
        <w:tc>
          <w:tcPr>
            <w:tcW w:w="1576" w:type="dxa"/>
          </w:tcPr>
          <w:p w14:paraId="434B9F5C" w14:textId="77777777" w:rsidR="00E747EE" w:rsidRPr="00E747EE" w:rsidRDefault="00E747EE" w:rsidP="00E747EE">
            <w:r w:rsidRPr="00E747EE">
              <w:t xml:space="preserve">Component 5 </w:t>
            </w:r>
          </w:p>
        </w:tc>
        <w:tc>
          <w:tcPr>
            <w:tcW w:w="1576" w:type="dxa"/>
          </w:tcPr>
          <w:p w14:paraId="472D57BA" w14:textId="77777777" w:rsidR="00E747EE" w:rsidRPr="00E747EE" w:rsidRDefault="00E747EE" w:rsidP="00E747EE">
            <w:r w:rsidRPr="00E747EE">
              <w:t xml:space="preserve">5.55 </w:t>
            </w:r>
          </w:p>
        </w:tc>
        <w:tc>
          <w:tcPr>
            <w:tcW w:w="1576" w:type="dxa"/>
          </w:tcPr>
          <w:p w14:paraId="318B431A" w14:textId="77777777" w:rsidR="00E747EE" w:rsidRPr="00E747EE" w:rsidRDefault="00E747EE" w:rsidP="00E747EE">
            <w:r w:rsidRPr="00E747EE">
              <w:t xml:space="preserve">7.00 </w:t>
            </w:r>
          </w:p>
        </w:tc>
        <w:tc>
          <w:tcPr>
            <w:tcW w:w="1576" w:type="dxa"/>
          </w:tcPr>
          <w:p w14:paraId="469A0FB1" w14:textId="77777777" w:rsidR="00E747EE" w:rsidRPr="00E747EE" w:rsidRDefault="00E747EE" w:rsidP="00E747EE">
            <w:r w:rsidRPr="00E747EE">
              <w:t xml:space="preserve">1.45 </w:t>
            </w:r>
          </w:p>
        </w:tc>
      </w:tr>
    </w:tbl>
    <w:p w14:paraId="7E53E516" w14:textId="47E7C3A7" w:rsidR="001853BF" w:rsidRPr="00A71C6B" w:rsidRDefault="001853BF" w:rsidP="001853BF">
      <w:pPr>
        <w:rPr>
          <w:b/>
          <w:bCs/>
        </w:rPr>
      </w:pPr>
    </w:p>
    <w:p w14:paraId="2149CAC4" w14:textId="6CECC770" w:rsidR="00E747EE" w:rsidRPr="00A71C6B" w:rsidRDefault="00E747EE" w:rsidP="001853BF">
      <w:pPr>
        <w:rPr>
          <w:b/>
          <w:bCs/>
        </w:rPr>
      </w:pPr>
      <w:r w:rsidRPr="00A71C6B">
        <w:rPr>
          <w:b/>
          <w:bCs/>
        </w:rPr>
        <w:t>3. Assessment by the Referee</w:t>
      </w:r>
    </w:p>
    <w:p w14:paraId="52AC1131" w14:textId="365A16FD" w:rsidR="00E747EE" w:rsidRDefault="00E747EE" w:rsidP="001853BF">
      <w:r>
        <w:t>The Referee shall review the judge’s deviation points report and consider whether they support any of the marks that are flagged as “of concern”.</w:t>
      </w:r>
    </w:p>
    <w:p w14:paraId="5D935FE3" w14:textId="2A9C313C" w:rsidR="00E747EE" w:rsidRDefault="00E747EE" w:rsidP="001853BF">
      <w:r>
        <w:t>The referee will also consider whether there any marks that are not flagged in the deviation points report but that they nevertheless consider are unjustifiable</w:t>
      </w:r>
      <w:r w:rsidR="00535955">
        <w:t>.</w:t>
      </w:r>
      <w:r>
        <w:t xml:space="preserve"> Examples of unjustifiable marks include, but are not limited to, failing to award a mandatory -5 GOE or awarding a GOE higher than -3 for an element with a fall.</w:t>
      </w:r>
    </w:p>
    <w:p w14:paraId="3D60135C" w14:textId="390939FB" w:rsidR="001853BF" w:rsidRDefault="001853BF" w:rsidP="001853BF">
      <w:r>
        <w:t xml:space="preserve">The number of acceptable </w:t>
      </w:r>
      <w:r w:rsidR="00E747EE">
        <w:t xml:space="preserve">marks “of concern” </w:t>
      </w:r>
      <w:r>
        <w:t>per report</w:t>
      </w:r>
      <w:r w:rsidR="00E747EE">
        <w:t xml:space="preserve"> (not supported by the Referee)</w:t>
      </w:r>
      <w:r>
        <w:t xml:space="preserve"> is based on the number of Competitors (Single Skaters/Pairs, Ice Dance Couples/Synchronized Skating Teams), as follows:</w:t>
      </w:r>
    </w:p>
    <w:p w14:paraId="29D38A1D" w14:textId="77777777" w:rsidR="001853BF" w:rsidRDefault="001853BF" w:rsidP="001853BF">
      <w:pPr>
        <w:pStyle w:val="ListParagraph"/>
        <w:numPr>
          <w:ilvl w:val="0"/>
          <w:numId w:val="1"/>
        </w:numPr>
      </w:pPr>
      <w:r>
        <w:t>Up to 8 Competitors: 1 error</w:t>
      </w:r>
    </w:p>
    <w:p w14:paraId="33663E45" w14:textId="77777777" w:rsidR="001853BF" w:rsidRDefault="001853BF" w:rsidP="001853BF">
      <w:pPr>
        <w:pStyle w:val="ListParagraph"/>
        <w:numPr>
          <w:ilvl w:val="0"/>
          <w:numId w:val="1"/>
        </w:numPr>
      </w:pPr>
      <w:r>
        <w:t>From 9 to 16 Competitors: 2 errors</w:t>
      </w:r>
    </w:p>
    <w:p w14:paraId="746FBEB2" w14:textId="77777777" w:rsidR="001853BF" w:rsidRDefault="001853BF" w:rsidP="001853BF">
      <w:pPr>
        <w:pStyle w:val="ListParagraph"/>
        <w:numPr>
          <w:ilvl w:val="0"/>
          <w:numId w:val="1"/>
        </w:numPr>
      </w:pPr>
      <w:r>
        <w:t>From 17 to 24 Competitors: 3 errors</w:t>
      </w:r>
    </w:p>
    <w:p w14:paraId="7DF3A680" w14:textId="77777777" w:rsidR="001853BF" w:rsidRDefault="001853BF" w:rsidP="001853BF">
      <w:pPr>
        <w:pStyle w:val="ListParagraph"/>
        <w:numPr>
          <w:ilvl w:val="0"/>
          <w:numId w:val="1"/>
        </w:numPr>
      </w:pPr>
      <w:r>
        <w:t>From 25 to 32 Competitors: 4 errors</w:t>
      </w:r>
    </w:p>
    <w:p w14:paraId="43FF856B" w14:textId="6183AF9F" w:rsidR="001853BF" w:rsidRDefault="001853BF" w:rsidP="001853BF">
      <w:pPr>
        <w:pStyle w:val="ListParagraph"/>
        <w:numPr>
          <w:ilvl w:val="0"/>
          <w:numId w:val="1"/>
        </w:numPr>
      </w:pPr>
      <w:r>
        <w:t>More than 32 Competitors: 5 errors</w:t>
      </w:r>
    </w:p>
    <w:p w14:paraId="0FF084A1" w14:textId="6B37CA11" w:rsidR="00A71C6B" w:rsidRDefault="001853BF" w:rsidP="001853BF">
      <w:r>
        <w:t>Competitors with two programmes count as two competitors for the purposes of the above.</w:t>
      </w:r>
    </w:p>
    <w:p w14:paraId="564FD6D9" w14:textId="77777777" w:rsidR="00272D52" w:rsidRDefault="00272D52" w:rsidP="001853BF"/>
    <w:p w14:paraId="4C986234" w14:textId="7B58F9BF" w:rsidR="00947463" w:rsidRPr="00A71C6B" w:rsidRDefault="00947463" w:rsidP="001853BF">
      <w:pPr>
        <w:rPr>
          <w:b/>
          <w:bCs/>
        </w:rPr>
      </w:pPr>
      <w:r w:rsidRPr="00A71C6B">
        <w:rPr>
          <w:b/>
          <w:bCs/>
        </w:rPr>
        <w:t>4. Conclusion</w:t>
      </w:r>
    </w:p>
    <w:p w14:paraId="199905C2" w14:textId="233F4074" w:rsidR="00E747EE" w:rsidRDefault="00E747EE" w:rsidP="001853BF">
      <w:r>
        <w:t>Any assessment report with more than the acceptable number of unsupported marks “of concern” does not demonstrate competence. Additionally, any assessment report that deems a mark unjustifiable does not demonstrate competence</w:t>
      </w:r>
    </w:p>
    <w:p w14:paraId="30F40C68" w14:textId="763AF477" w:rsidR="00947463" w:rsidRDefault="00947463" w:rsidP="001853BF">
      <w:r>
        <w:t>Otherwise, the report will be deemed to demonstrate competence.</w:t>
      </w:r>
    </w:p>
    <w:p w14:paraId="13394C46" w14:textId="707B447E" w:rsidR="00915D95" w:rsidRDefault="001853BF" w:rsidP="001853BF">
      <w:r>
        <w:t xml:space="preserve">Note: </w:t>
      </w:r>
      <w:r w:rsidR="00EC53BA">
        <w:t>In place of one assessment report, judges may submit written evaluation of their competence by the facilitator of an NZIFSA approved training seminar</w:t>
      </w:r>
      <w:r w:rsidR="00EC53BA" w:rsidRPr="00915D95">
        <w:t xml:space="preserve"> </w:t>
      </w:r>
      <w:r w:rsidR="00EC53BA">
        <w:t>(or their nominee).</w:t>
      </w:r>
    </w:p>
    <w:p w14:paraId="33456154" w14:textId="77777777" w:rsidR="00A71C6B" w:rsidRDefault="00A71C6B">
      <w:pPr>
        <w:rPr>
          <w:b/>
          <w:bCs/>
        </w:rPr>
      </w:pPr>
    </w:p>
    <w:p w14:paraId="6099A79C" w14:textId="1FF5C9A4" w:rsidR="00EC53BA" w:rsidRDefault="00EC53BA">
      <w:pPr>
        <w:rPr>
          <w:b/>
          <w:bCs/>
        </w:rPr>
      </w:pPr>
      <w:r w:rsidRPr="00EC53BA">
        <w:rPr>
          <w:b/>
          <w:bCs/>
        </w:rPr>
        <w:t>Judges (Stroking tests)</w:t>
      </w:r>
    </w:p>
    <w:p w14:paraId="24140747" w14:textId="07B3AB69" w:rsidR="00C04826" w:rsidRDefault="00C04826" w:rsidP="00C04826">
      <w:r>
        <w:t>Assessment reports for stroking test judges shall be deemed to demonstrate competenc</w:t>
      </w:r>
      <w:r w:rsidR="00947463">
        <w:t>e</w:t>
      </w:r>
      <w:r>
        <w:t xml:space="preserve"> where all discrepancies in marks are evaluated by the Test Referee as acceptable. To clarify, any assessment reports that evaluate a mark as not acceptable do not demonstrate competence. </w:t>
      </w:r>
    </w:p>
    <w:p w14:paraId="12C39119" w14:textId="77777777" w:rsidR="00A71C6B" w:rsidRDefault="00A71C6B" w:rsidP="00C04826"/>
    <w:p w14:paraId="7D13EF1B" w14:textId="74C6DDC8" w:rsidR="00915D95" w:rsidRDefault="00915D95">
      <w:pPr>
        <w:rPr>
          <w:b/>
          <w:bCs/>
        </w:rPr>
      </w:pPr>
      <w:r>
        <w:rPr>
          <w:b/>
          <w:bCs/>
        </w:rPr>
        <w:t>Technical Specialists</w:t>
      </w:r>
    </w:p>
    <w:p w14:paraId="0C3726D0" w14:textId="241A9951" w:rsidR="00915D95" w:rsidRDefault="00BD6011">
      <w:r>
        <w:t>Assessment reports for technical specialists shall be deemed to demonstrate competenc</w:t>
      </w:r>
      <w:r w:rsidR="00947463">
        <w:t>e</w:t>
      </w:r>
      <w:r>
        <w:t xml:space="preserve"> where all discrepancies in calls are evaluated by the Technical Controller as acceptable. To clarify, any assessment reports that evaluate a call as not acceptable do not demonstrate competence. </w:t>
      </w:r>
    </w:p>
    <w:p w14:paraId="648B3E04" w14:textId="73A2172A" w:rsidR="00BD6011" w:rsidRDefault="001853BF">
      <w:r>
        <w:t xml:space="preserve">Note: </w:t>
      </w:r>
      <w:r w:rsidR="00BD6011">
        <w:t>In place of one assessment report, technical specialists may submit written evaluation of their competence by the facilitator of an NZIFSA approved training seminar</w:t>
      </w:r>
      <w:r w:rsidR="00BD6011" w:rsidRPr="00915D95">
        <w:t xml:space="preserve"> </w:t>
      </w:r>
      <w:r w:rsidR="00BD6011">
        <w:t>(or their nominee).</w:t>
      </w:r>
    </w:p>
    <w:p w14:paraId="2C5F911B" w14:textId="77777777" w:rsidR="00A71C6B" w:rsidRPr="00BD6011" w:rsidRDefault="00A71C6B"/>
    <w:p w14:paraId="266C5CC3" w14:textId="262CDCF4" w:rsidR="00915D95" w:rsidRDefault="00915D95">
      <w:pPr>
        <w:rPr>
          <w:b/>
          <w:bCs/>
        </w:rPr>
      </w:pPr>
      <w:r>
        <w:rPr>
          <w:b/>
          <w:bCs/>
        </w:rPr>
        <w:t>Referees, Technical Controllers and Data/Replay Operators</w:t>
      </w:r>
    </w:p>
    <w:p w14:paraId="26B51BD2" w14:textId="59B95F92" w:rsidR="00915D95" w:rsidRPr="00915D95" w:rsidRDefault="00915D95">
      <w:r>
        <w:t>Competence for first appointment is to be assessed by the facilitator of a</w:t>
      </w:r>
      <w:r w:rsidR="00BD6011">
        <w:t>n NZIFSA approved</w:t>
      </w:r>
      <w:r>
        <w:t xml:space="preserve"> training seminar</w:t>
      </w:r>
      <w:r w:rsidRPr="00915D95">
        <w:t xml:space="preserve"> </w:t>
      </w:r>
      <w:r>
        <w:t>(or their nominee). Promotion is possible once the official has participated in at least three competitions where they have performed satisfactorily</w:t>
      </w:r>
      <w:r w:rsidR="00BD6011">
        <w:t>;</w:t>
      </w:r>
      <w:r>
        <w:t xml:space="preserve"> that is, no concerns have been raised</w:t>
      </w:r>
      <w:r w:rsidR="00BD6011">
        <w:t xml:space="preserve"> with the Officials Director</w:t>
      </w:r>
      <w:r>
        <w:t xml:space="preserve"> by the Referee or Technical Controller (as applicable). Competence for promotion is to be assessed </w:t>
      </w:r>
      <w:r w:rsidR="00BD6011">
        <w:t>by the facilitator of an NZIFSA approved training seminar</w:t>
      </w:r>
      <w:r w:rsidR="00BD6011" w:rsidRPr="00915D95">
        <w:t xml:space="preserve"> </w:t>
      </w:r>
      <w:r w:rsidR="00BD6011">
        <w:t>(or their nominee).</w:t>
      </w:r>
    </w:p>
    <w:sectPr w:rsidR="00915D95" w:rsidRPr="00915D95" w:rsidSect="001650A7">
      <w:footerReference w:type="default" r:id="rId7"/>
      <w:pgSz w:w="11907" w:h="16840"/>
      <w:pgMar w:top="1440" w:right="1134" w:bottom="1276" w:left="1418" w:header="720" w:footer="29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CB39" w14:textId="77777777" w:rsidR="001650A7" w:rsidRDefault="001650A7" w:rsidP="00710B72">
      <w:pPr>
        <w:spacing w:after="0" w:line="240" w:lineRule="auto"/>
      </w:pPr>
      <w:r>
        <w:separator/>
      </w:r>
    </w:p>
  </w:endnote>
  <w:endnote w:type="continuationSeparator" w:id="0">
    <w:p w14:paraId="66E65B11" w14:textId="77777777" w:rsidR="001650A7" w:rsidRDefault="001650A7" w:rsidP="0071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85DC" w14:textId="77777777" w:rsidR="00272D52" w:rsidRDefault="00272D52" w:rsidP="00272D52">
    <w:pPr>
      <w:tabs>
        <w:tab w:val="right" w:pos="4678"/>
        <w:tab w:val="right" w:pos="9072"/>
      </w:tabs>
      <w:rPr>
        <w:noProof/>
        <w:sz w:val="24"/>
        <w:szCs w:val="24"/>
      </w:rPr>
    </w:pPr>
    <w:r>
      <w:rPr>
        <w:sz w:val="24"/>
        <w:szCs w:val="24"/>
      </w:rPr>
      <w:tab/>
    </w:r>
    <w:r w:rsidRPr="00272D52">
      <w:rPr>
        <w:sz w:val="24"/>
        <w:szCs w:val="24"/>
      </w:rPr>
      <w:fldChar w:fldCharType="begin"/>
    </w:r>
    <w:r w:rsidRPr="00272D52">
      <w:rPr>
        <w:sz w:val="24"/>
        <w:szCs w:val="24"/>
      </w:rPr>
      <w:instrText xml:space="preserve"> PAGE   \* MERGEFORMAT </w:instrText>
    </w:r>
    <w:r w:rsidRPr="00272D52">
      <w:rPr>
        <w:sz w:val="24"/>
        <w:szCs w:val="24"/>
      </w:rPr>
      <w:fldChar w:fldCharType="separate"/>
    </w:r>
    <w:r w:rsidRPr="00272D52">
      <w:rPr>
        <w:noProof/>
        <w:sz w:val="24"/>
        <w:szCs w:val="24"/>
      </w:rPr>
      <w:t>1</w:t>
    </w:r>
    <w:r w:rsidRPr="00272D52">
      <w:rPr>
        <w:noProof/>
        <w:sz w:val="24"/>
        <w:szCs w:val="24"/>
      </w:rPr>
      <w:fldChar w:fldCharType="end"/>
    </w:r>
  </w:p>
  <w:p w14:paraId="58B5157A" w14:textId="0491B535" w:rsidR="00710B72" w:rsidRPr="00272D52" w:rsidRDefault="00272D52" w:rsidP="00272D52">
    <w:pPr>
      <w:tabs>
        <w:tab w:val="right" w:pos="4678"/>
        <w:tab w:val="right" w:pos="9072"/>
      </w:tabs>
    </w:pPr>
    <w:r w:rsidRPr="00272D52">
      <w:t xml:space="preserve">Version </w:t>
    </w:r>
    <w:r w:rsidR="00BC1843">
      <w:t>10.</w:t>
    </w:r>
    <w:r w:rsidR="000637D4">
      <w:t>0</w:t>
    </w:r>
    <w:r w:rsidR="00710B72" w:rsidRPr="00272D52">
      <w:t xml:space="preserve"> </w:t>
    </w:r>
    <w:r w:rsidRPr="00272D52">
      <w:t>(</w:t>
    </w:r>
    <w:r w:rsidR="000637D4">
      <w:t>reviewed and reconfirmed without change 13 February 2024</w:t>
    </w:r>
    <w:r w:rsidRPr="00272D5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D5D18" w14:textId="77777777" w:rsidR="001650A7" w:rsidRDefault="001650A7" w:rsidP="00710B72">
      <w:pPr>
        <w:spacing w:after="0" w:line="240" w:lineRule="auto"/>
      </w:pPr>
      <w:r>
        <w:separator/>
      </w:r>
    </w:p>
  </w:footnote>
  <w:footnote w:type="continuationSeparator" w:id="0">
    <w:p w14:paraId="05FE0B23" w14:textId="77777777" w:rsidR="001650A7" w:rsidRDefault="001650A7" w:rsidP="00710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446DB"/>
    <w:multiLevelType w:val="hybridMultilevel"/>
    <w:tmpl w:val="795AFF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2545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1F"/>
    <w:rsid w:val="00011C4E"/>
    <w:rsid w:val="000158A1"/>
    <w:rsid w:val="000637D4"/>
    <w:rsid w:val="001650A7"/>
    <w:rsid w:val="001853BF"/>
    <w:rsid w:val="001C30AC"/>
    <w:rsid w:val="001E4548"/>
    <w:rsid w:val="00272D52"/>
    <w:rsid w:val="00472B19"/>
    <w:rsid w:val="00485DD6"/>
    <w:rsid w:val="004C5A65"/>
    <w:rsid w:val="004C7E41"/>
    <w:rsid w:val="00535955"/>
    <w:rsid w:val="0058512F"/>
    <w:rsid w:val="005C6E8A"/>
    <w:rsid w:val="00665DC0"/>
    <w:rsid w:val="006D0F69"/>
    <w:rsid w:val="00710B72"/>
    <w:rsid w:val="007E1EA2"/>
    <w:rsid w:val="00830CF7"/>
    <w:rsid w:val="00885C82"/>
    <w:rsid w:val="008A00A7"/>
    <w:rsid w:val="008A70E1"/>
    <w:rsid w:val="008C4768"/>
    <w:rsid w:val="008F2E1E"/>
    <w:rsid w:val="00915D95"/>
    <w:rsid w:val="00947463"/>
    <w:rsid w:val="009E4292"/>
    <w:rsid w:val="00A71C6B"/>
    <w:rsid w:val="00AB6633"/>
    <w:rsid w:val="00B547EE"/>
    <w:rsid w:val="00BC1843"/>
    <w:rsid w:val="00BD6011"/>
    <w:rsid w:val="00C04826"/>
    <w:rsid w:val="00C70215"/>
    <w:rsid w:val="00CC081F"/>
    <w:rsid w:val="00E747EE"/>
    <w:rsid w:val="00EC53B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F5F15"/>
  <w15:chartTrackingRefBased/>
  <w15:docId w15:val="{6F88C372-5BB9-4A8E-8036-3722FC80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BF"/>
    <w:pPr>
      <w:ind w:left="720"/>
      <w:contextualSpacing/>
    </w:pPr>
  </w:style>
  <w:style w:type="paragraph" w:customStyle="1" w:styleId="Default">
    <w:name w:val="Default"/>
    <w:rsid w:val="001853B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85DD6"/>
    <w:pPr>
      <w:spacing w:after="0" w:line="240" w:lineRule="auto"/>
    </w:pPr>
  </w:style>
  <w:style w:type="paragraph" w:styleId="Header">
    <w:name w:val="header"/>
    <w:basedOn w:val="Normal"/>
    <w:link w:val="HeaderChar"/>
    <w:uiPriority w:val="99"/>
    <w:unhideWhenUsed/>
    <w:rsid w:val="00710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72"/>
  </w:style>
  <w:style w:type="paragraph" w:styleId="Footer">
    <w:name w:val="footer"/>
    <w:basedOn w:val="Normal"/>
    <w:link w:val="FooterChar"/>
    <w:uiPriority w:val="99"/>
    <w:unhideWhenUsed/>
    <w:rsid w:val="00710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840</Words>
  <Characters>4483</Characters>
  <Application>Microsoft Office Word</Application>
  <DocSecurity>0</DocSecurity>
  <Lines>89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Laura Thompson</cp:lastModifiedBy>
  <cp:revision>5</cp:revision>
  <dcterms:created xsi:type="dcterms:W3CDTF">2023-09-07T10:52:00Z</dcterms:created>
  <dcterms:modified xsi:type="dcterms:W3CDTF">2024-02-15T04:38:00Z</dcterms:modified>
</cp:coreProperties>
</file>